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59"/>
        <w:pBdr/>
        <w:spacing w:after="0" w:line="0" w:lineRule="atLeast"/>
        <w:ind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659"/>
        <w:pBdr/>
        <w:spacing w:after="0" w:line="0" w:lineRule="atLeast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выполнении плановых объемов профилактических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ФГБУЗ МСЧ №121 ФМБА России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59"/>
        <w:pBdr/>
        <w:spacing w:after="0" w:line="0" w:lineRule="atLeast"/>
        <w:ind/>
        <w:jc w:val="center"/>
        <w:rPr/>
      </w:pPr>
      <w:r/>
      <w:r/>
    </w:p>
    <w:tbl>
      <w:tblPr>
        <w:tblW w:w="0" w:type="auto"/>
        <w:tblInd w:w="94" w:type="dxa"/>
        <w:tblBorders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2655"/>
        <w:gridCol w:w="1417"/>
        <w:gridCol w:w="1276"/>
        <w:gridCol w:w="1276"/>
        <w:gridCol w:w="1275"/>
        <w:gridCol w:w="1276"/>
      </w:tblGrid>
      <w:tr>
        <w:trPr>
          <w:trHeight w:val="2141"/>
        </w:trPr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2655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профилактического мероприятия</w:t>
            </w:r>
            <w:r/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взрослого населения, подлежащего в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(64% от всего взрослого населения)</w:t>
            </w:r>
            <w:r/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осмотренных человек </w:t>
            </w:r>
            <w:r/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выполнения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2025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/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прошедших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этап </w:t>
            </w:r>
            <w:r/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выполнения плана года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5" w:type="dxa"/>
            <w:vAlign w:val="top"/>
            <w:textDirection w:val="lrTb"/>
            <w:noWrap w:val="false"/>
          </w:tcPr>
          <w:p>
            <w:pPr>
              <w:pStyle w:val="692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Профосмотр взрослого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427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471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110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25,9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720"/>
        </w:trPr>
        <w:tc>
          <w:tcPr>
            <w:tcBorders>
              <w:left w:val="single" w:color="000000" w:sz="1" w:space="0"/>
              <w:bottom w:val="single" w:color="auto" w:sz="4" w:space="0"/>
            </w:tcBorders>
            <w:tcW w:w="2655" w:type="dxa"/>
            <w:vAlign w:val="top"/>
            <w:textDirection w:val="lrTb"/>
            <w:noWrap w:val="false"/>
          </w:tcPr>
          <w:p>
            <w:pPr>
              <w:pStyle w:val="692"/>
              <w:pBdr/>
              <w:spacing w:after="0" w:line="240" w:lineRule="auto"/>
              <w:ind/>
              <w:contextualSpacing w:val="true"/>
              <w:jc w:val="both"/>
              <w:rPr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взрослого населения</w:t>
            </w:r>
            <w:r/>
          </w:p>
        </w:tc>
        <w:tc>
          <w:tcPr>
            <w:tcBorders>
              <w:left w:val="single" w:color="000000" w:sz="1" w:space="0"/>
              <w:bottom w:val="single" w:color="auto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639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left w:val="single" w:color="000000" w:sz="1" w:space="0"/>
              <w:bottom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3673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left w:val="single" w:color="000000" w:sz="1" w:space="0"/>
              <w:bottom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left w:val="single" w:color="000000" w:sz="1" w:space="0"/>
              <w:bottom w:val="single" w:color="auto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1028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left w:val="single" w:color="000000" w:sz="1" w:space="0"/>
              <w:bottom w:val="single" w:color="auto" w:sz="4" w:space="0"/>
              <w:right w:val="single" w:color="000000" w:sz="1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8,0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8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5" w:type="dxa"/>
            <w:vAlign w:val="top"/>
            <w:textDirection w:val="lrTb"/>
            <w:noWrap w:val="false"/>
          </w:tcPr>
          <w:p>
            <w:pPr>
              <w:pStyle w:val="692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Углубленная диспансеризация взрослого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6,0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8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5" w:type="dxa"/>
            <w:vAlign w:val="top"/>
            <w:textDirection w:val="lrTb"/>
            <w:noWrap w:val="false"/>
          </w:tcPr>
          <w:p>
            <w:pPr>
              <w:pStyle w:val="692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Диспансеризация взрослого населения репродуктивного возраста по оценке репродуктивного здоровья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1031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106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7,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659"/>
        <w:pBdr/>
        <w:spacing w:line="240" w:lineRule="auto"/>
        <w:ind/>
        <w:contextualSpacing w:val="true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</w:r>
      <w:r>
        <w:rPr>
          <w:rFonts w:ascii="Times New Roman CYR" w:hAnsi="Times New Roman CYR" w:cs="Times New Roman CYR"/>
          <w:color w:val="000000"/>
          <w:sz w:val="26"/>
          <w:szCs w:val="26"/>
        </w:rPr>
      </w:r>
    </w:p>
    <w:p>
      <w:pPr>
        <w:pStyle w:val="659"/>
        <w:pBdr/>
        <w:spacing w:after="0" w:line="240" w:lineRule="auto"/>
        <w:ind w:firstLine="720"/>
        <w:contextualSpacing w:val="true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Впервые выявлены заболевания у </w:t>
      </w:r>
      <w:r>
        <w:rPr>
          <w:rFonts w:ascii="Times New Roman" w:hAnsi="Times New Roman"/>
          <w:sz w:val="28"/>
          <w:szCs w:val="28"/>
        </w:rPr>
        <w:t xml:space="preserve">117 человек, 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% от всех прошедших профилактические мероприятия, </w:t>
      </w:r>
      <w:r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% меньше, чем в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г.</w:t>
      </w:r>
      <w:r>
        <w:rPr>
          <w:rFonts w:ascii="Times New Roman" w:hAnsi="Times New Roman"/>
          <w:sz w:val="28"/>
          <w:szCs w:val="28"/>
        </w:rPr>
        <w:t xml:space="preserve"> (148 чел.)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pBdr/>
        <w:spacing w:after="0" w:line="100" w:lineRule="atLeast"/>
        <w:ind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59"/>
        <w:pBdr/>
        <w:spacing w:after="0" w:line="100" w:lineRule="atLeast"/>
        <w:ind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Среди впервые выявленных заболеваний: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pBdr/>
        <w:spacing w:after="0" w:line="100" w:lineRule="atLeast"/>
        <w:ind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59"/>
        <w:pBdr/>
        <w:spacing w:after="0" w:line="100" w:lineRule="atLeast"/>
        <w:ind w:firstLine="720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5 онкозаболеваний (</w:t>
      </w:r>
      <w:r>
        <w:rPr>
          <w:rFonts w:ascii="Times New Roman" w:hAnsi="Times New Roman" w:cs="Times New Roman"/>
          <w:sz w:val="28"/>
          <w:szCs w:val="28"/>
        </w:rPr>
        <w:t xml:space="preserve">ЗНО кожи, желчного пузыря (3 ст.)</w:t>
      </w:r>
      <w:r>
        <w:rPr>
          <w:rFonts w:ascii="Times New Roman" w:hAnsi="Times New Roman" w:cs="Times New Roman"/>
          <w:sz w:val="28"/>
          <w:szCs w:val="28"/>
        </w:rPr>
        <w:t xml:space="preserve">, молочной железы 2 чел. (2 ст.) и кишечника (2б ст.). За 2024 год выявлено при профмероприятиях - </w:t>
      </w:r>
      <w:r>
        <w:rPr>
          <w:rFonts w:ascii="Times New Roman" w:hAnsi="Times New Roman"/>
          <w:sz w:val="28"/>
          <w:szCs w:val="28"/>
        </w:rPr>
        <w:t xml:space="preserve">6 онкозаболеваний, из них 5 чел. на 1-2 стадии (1 ЗНО матки, 1 яичников, 1 молочной железы,  2 легкие, 1 лимфома);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pBdr/>
        <w:spacing w:after="0" w:line="100" w:lineRule="atLeast"/>
        <w:ind w:firstLine="720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59"/>
        <w:pBdr/>
        <w:spacing w:after="0" w:line="100" w:lineRule="atLeast"/>
        <w:ind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- болезни органов пищеварения – 27 чел., 0,8% от всех прошедших профмероприятия, на одном уровне с  прошлым годом;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pBdr/>
        <w:spacing w:after="0" w:line="100" w:lineRule="atLeast"/>
        <w:ind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59"/>
        <w:pBdr/>
        <w:spacing w:after="0" w:line="100" w:lineRule="atLeast"/>
        <w:ind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- болезни системы кровообращения, 20 человек, в том числе гипертоническая болезнь - 12 человек, 0,6% от всех прошедших профмероприятия, в 3 раза меньше, чем в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г. (62 чел.);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pBdr/>
        <w:spacing w:after="0" w:line="100" w:lineRule="atLeast"/>
        <w:ind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59"/>
        <w:pBdr/>
        <w:spacing w:after="0" w:line="100" w:lineRule="atLeast"/>
        <w:ind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заболевания бронхолегочной системы – 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чел.,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одном уровне с</w:t>
      </w:r>
      <w:r>
        <w:rPr>
          <w:rFonts w:ascii="Times New Roman" w:hAnsi="Times New Roman"/>
          <w:sz w:val="28"/>
          <w:szCs w:val="28"/>
        </w:rPr>
        <w:t xml:space="preserve"> прошл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м год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pBdr/>
        <w:spacing w:after="0" w:line="100" w:lineRule="atLeast"/>
        <w:ind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59"/>
        <w:pBdr/>
        <w:spacing w:after="0" w:line="100" w:lineRule="atLeast"/>
        <w:ind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сахарный диабет  - 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человек, 0,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% , в 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 xml:space="preserve">впервые выявлено 2</w:t>
      </w:r>
      <w:r>
        <w:rPr>
          <w:rFonts w:ascii="Times New Roman" w:hAnsi="Times New Roman"/>
          <w:sz w:val="28"/>
          <w:szCs w:val="28"/>
        </w:rPr>
        <w:t xml:space="preserve"> чел;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pBdr/>
        <w:spacing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659"/>
        <w:pBdr/>
        <w:spacing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Все пациенты с ХНИЗ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зяты на диспансерное наблюдение.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59"/>
        <w:pBdr/>
        <w:spacing w:line="240" w:lineRule="auto"/>
        <w:ind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br w:type="page" w:clear="all"/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Из числа завершивших 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202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распределились по группам здоровья: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356" w:type="dxa"/>
        <w:tblInd w:w="55" w:type="dxa"/>
        <w:tblBorders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1438"/>
        <w:gridCol w:w="1978"/>
        <w:gridCol w:w="1971"/>
        <w:gridCol w:w="3969"/>
      </w:tblGrid>
      <w:tr>
        <w:trPr>
          <w:trHeight w:val="78"/>
        </w:trPr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1438" w:type="dxa"/>
            <w:vAlign w:val="top"/>
            <w:vMerge w:val="restart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Определена группа здоровья</w:t>
            </w:r>
            <w:r/>
          </w:p>
        </w:tc>
        <w:tc>
          <w:tcPr>
            <w:gridSpan w:val="2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auto" w:sz="4" w:space="0"/>
            </w:tcBorders>
            <w:tcW w:w="3949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чел.- % от общего числа осмотренных  </w:t>
            </w:r>
            <w:r/>
          </w:p>
        </w:tc>
      </w:tr>
      <w:tr>
        <w:trPr>
          <w:trHeight w:val="738"/>
        </w:trPr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1438" w:type="dxa"/>
            <w:vAlign w:val="top"/>
            <w:vMerge w:val="continue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1" w:space="0"/>
              <w:bottom w:val="single" w:color="000000" w:sz="1" w:space="0"/>
            </w:tcBorders>
            <w:tcW w:w="1978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трудоспособном возрасте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(ЧЕЛ)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1" w:space="0"/>
              <w:bottom w:val="single" w:color="000000" w:sz="1" w:space="0"/>
              <w:right w:val="single" w:color="auto" w:sz="4" w:space="0"/>
            </w:tcBorders>
            <w:tcW w:w="1971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Старше трудоспособного 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(ЧЕЛ)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518"/>
        </w:trPr>
        <w:tc>
          <w:tcPr>
            <w:tcBorders>
              <w:left w:val="single" w:color="000000" w:sz="1" w:space="0"/>
              <w:bottom w:val="single" w:color="000000" w:sz="1" w:space="0"/>
            </w:tcBorders>
            <w:tcW w:w="1438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1" w:space="0"/>
              <w:bottom w:val="single" w:color="000000" w:sz="1" w:space="0"/>
            </w:tcBorders>
            <w:tcW w:w="1978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1" w:space="0"/>
              <w:bottom w:val="single" w:color="000000" w:sz="1" w:space="0"/>
              <w:right w:val="single" w:color="auto" w:sz="4" w:space="0"/>
            </w:tcBorders>
            <w:tcW w:w="1971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2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(2024г.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18"/>
        </w:trPr>
        <w:tc>
          <w:tcPr>
            <w:tcBorders>
              <w:left w:val="single" w:color="000000" w:sz="1" w:space="0"/>
              <w:bottom w:val="single" w:color="000000" w:sz="1" w:space="0"/>
            </w:tcBorders>
            <w:tcW w:w="1438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1" w:space="0"/>
              <w:bottom w:val="single" w:color="000000" w:sz="1" w:space="0"/>
            </w:tcBorders>
            <w:tcW w:w="1978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1" w:space="0"/>
              <w:bottom w:val="single" w:color="000000" w:sz="1" w:space="0"/>
              <w:right w:val="single" w:color="auto" w:sz="4" w:space="0"/>
            </w:tcBorders>
            <w:tcW w:w="1971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2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 –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(2024г.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7,2%;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18"/>
        </w:trPr>
        <w:tc>
          <w:tcPr>
            <w:tcBorders>
              <w:left w:val="single" w:color="000000" w:sz="1" w:space="0"/>
              <w:bottom w:val="single" w:color="000000" w:sz="2" w:space="0"/>
            </w:tcBorders>
            <w:tcW w:w="1438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1" w:space="0"/>
              <w:bottom w:val="single" w:color="000000" w:sz="2" w:space="0"/>
            </w:tcBorders>
            <w:tcW w:w="1978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1" w:space="0"/>
              <w:bottom w:val="single" w:color="000000" w:sz="2" w:space="0"/>
              <w:right w:val="single" w:color="auto" w:sz="4" w:space="0"/>
            </w:tcBorders>
            <w:tcW w:w="1971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2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2048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(2024г.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46,9%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28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W w:w="1438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W w:w="1978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W w:w="1971" w:type="dxa"/>
            <w:vAlign w:val="top"/>
            <w:textDirection w:val="lrTb"/>
            <w:noWrap w:val="false"/>
          </w:tcPr>
          <w:p>
            <w:pPr>
              <w:pStyle w:val="692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2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471 – 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(2024г.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59"/>
        <w:pBdr/>
        <w:spacing w:line="100" w:lineRule="atLeast"/>
        <w:ind/>
        <w:jc w:val="both"/>
        <w:rPr/>
      </w:pPr>
      <w:r>
        <w:rPr>
          <w:rFonts w:ascii="Times New Roman" w:hAnsi="Times New Roman"/>
          <w:sz w:val="26"/>
          <w:szCs w:val="26"/>
        </w:rPr>
        <w:tab/>
      </w:r>
      <w:r/>
    </w:p>
    <w:sectPr>
      <w:footnotePr/>
      <w:endnotePr/>
      <w:type w:val="nextPage"/>
      <w:pgSz w:h="16838" w:orient="portrait" w:w="11906"/>
      <w:pgMar w:top="1134" w:right="567" w:bottom="1134" w:left="1418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Liberation Serif">
    <w:panose1 w:val="02020603050405020304"/>
  </w:font>
  <w:font w:name="Mangal">
    <w:panose1 w:val="02040503050406030204"/>
  </w:font>
  <w:font w:name="Microsoft YaHei">
    <w:panose1 w:val="020B0503020204020204"/>
  </w:font>
  <w:font w:name="Times New Roman">
    <w:panose1 w:val="02020603050405020304"/>
  </w:font>
  <w:font w:name="Symbol">
    <w:panose1 w:val="05050102010706020507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59"/>
    <w:next w:val="65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59"/>
    <w:next w:val="65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59"/>
    <w:next w:val="65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59"/>
    <w:next w:val="65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59"/>
    <w:next w:val="65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59"/>
    <w:next w:val="65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59"/>
    <w:next w:val="65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59"/>
    <w:next w:val="65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59"/>
    <w:next w:val="65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59"/>
    <w:next w:val="65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59"/>
    <w:next w:val="65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59"/>
    <w:next w:val="65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5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59"/>
    <w:next w:val="65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5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5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5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59"/>
    <w:next w:val="65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5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5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59"/>
    <w:next w:val="659"/>
    <w:uiPriority w:val="39"/>
    <w:unhideWhenUsed/>
    <w:pPr>
      <w:pBdr/>
      <w:spacing w:after="100"/>
      <w:ind/>
    </w:pPr>
  </w:style>
  <w:style w:type="paragraph" w:styleId="189">
    <w:name w:val="toc 2"/>
    <w:basedOn w:val="659"/>
    <w:next w:val="659"/>
    <w:uiPriority w:val="39"/>
    <w:unhideWhenUsed/>
    <w:pPr>
      <w:pBdr/>
      <w:spacing w:after="100"/>
      <w:ind w:left="220"/>
    </w:pPr>
  </w:style>
  <w:style w:type="paragraph" w:styleId="190">
    <w:name w:val="toc 3"/>
    <w:basedOn w:val="659"/>
    <w:next w:val="659"/>
    <w:uiPriority w:val="39"/>
    <w:unhideWhenUsed/>
    <w:pPr>
      <w:pBdr/>
      <w:spacing w:after="100"/>
      <w:ind w:left="440"/>
    </w:pPr>
  </w:style>
  <w:style w:type="paragraph" w:styleId="191">
    <w:name w:val="toc 4"/>
    <w:basedOn w:val="659"/>
    <w:next w:val="659"/>
    <w:uiPriority w:val="39"/>
    <w:unhideWhenUsed/>
    <w:pPr>
      <w:pBdr/>
      <w:spacing w:after="100"/>
      <w:ind w:left="660"/>
    </w:pPr>
  </w:style>
  <w:style w:type="paragraph" w:styleId="192">
    <w:name w:val="toc 5"/>
    <w:basedOn w:val="659"/>
    <w:next w:val="659"/>
    <w:uiPriority w:val="39"/>
    <w:unhideWhenUsed/>
    <w:pPr>
      <w:pBdr/>
      <w:spacing w:after="100"/>
      <w:ind w:left="880"/>
    </w:pPr>
  </w:style>
  <w:style w:type="paragraph" w:styleId="193">
    <w:name w:val="toc 6"/>
    <w:basedOn w:val="659"/>
    <w:next w:val="659"/>
    <w:uiPriority w:val="39"/>
    <w:unhideWhenUsed/>
    <w:pPr>
      <w:pBdr/>
      <w:spacing w:after="100"/>
      <w:ind w:left="1100"/>
    </w:pPr>
  </w:style>
  <w:style w:type="paragraph" w:styleId="194">
    <w:name w:val="toc 7"/>
    <w:basedOn w:val="659"/>
    <w:next w:val="659"/>
    <w:uiPriority w:val="39"/>
    <w:unhideWhenUsed/>
    <w:pPr>
      <w:pBdr/>
      <w:spacing w:after="100"/>
      <w:ind w:left="1320"/>
    </w:pPr>
  </w:style>
  <w:style w:type="paragraph" w:styleId="195">
    <w:name w:val="toc 8"/>
    <w:basedOn w:val="659"/>
    <w:next w:val="659"/>
    <w:uiPriority w:val="39"/>
    <w:unhideWhenUsed/>
    <w:pPr>
      <w:pBdr/>
      <w:spacing w:after="100"/>
      <w:ind w:left="1540"/>
    </w:pPr>
  </w:style>
  <w:style w:type="paragraph" w:styleId="196">
    <w:name w:val="toc 9"/>
    <w:basedOn w:val="659"/>
    <w:next w:val="65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59"/>
    <w:next w:val="659"/>
    <w:uiPriority w:val="99"/>
    <w:unhideWhenUsed/>
    <w:pPr>
      <w:pBdr/>
      <w:spacing w:after="0" w:afterAutospacing="0"/>
      <w:ind/>
    </w:pPr>
  </w:style>
  <w:style w:type="paragraph" w:styleId="659" w:default="1">
    <w:name w:val="Normal"/>
    <w:next w:val="659"/>
    <w:link w:val="659"/>
    <w:qFormat/>
    <w:pPr>
      <w:pBdr/>
      <w:spacing w:after="200" w:line="276" w:lineRule="auto"/>
      <w:ind/>
    </w:pPr>
    <w:rPr>
      <w:rFonts w:ascii="Calibri" w:hAnsi="Calibri" w:cs="Calibri"/>
      <w:sz w:val="22"/>
      <w:szCs w:val="22"/>
      <w:lang w:val="ru-RU" w:eastAsia="zh-CN" w:bidi="ar-SA"/>
    </w:rPr>
  </w:style>
  <w:style w:type="character" w:styleId="660">
    <w:name w:val="Основной шрифт абзаца"/>
    <w:next w:val="660"/>
    <w:link w:val="659"/>
    <w:uiPriority w:val="1"/>
    <w:semiHidden/>
    <w:unhideWhenUsed/>
    <w:pPr>
      <w:pBdr/>
      <w:spacing/>
      <w:ind/>
    </w:pPr>
  </w:style>
  <w:style w:type="table" w:styleId="661">
    <w:name w:val="Обычная таблица"/>
    <w:next w:val="661"/>
    <w:link w:val="659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>
    <w:name w:val="Нет списка"/>
    <w:next w:val="662"/>
    <w:link w:val="659"/>
    <w:uiPriority w:val="99"/>
    <w:semiHidden/>
    <w:unhideWhenUsed/>
    <w:pPr>
      <w:pBdr/>
      <w:spacing/>
      <w:ind/>
    </w:pPr>
  </w:style>
  <w:style w:type="character" w:styleId="663">
    <w:name w:val="WW8Num1z0"/>
    <w:next w:val="663"/>
    <w:link w:val="659"/>
    <w:pPr>
      <w:pBdr/>
      <w:spacing/>
      <w:ind/>
    </w:pPr>
    <w:rPr>
      <w:rFonts w:ascii="Symbol" w:hAnsi="Symbol" w:cs="Symbol"/>
    </w:rPr>
  </w:style>
  <w:style w:type="character" w:styleId="664">
    <w:name w:val="WW8Num1z1"/>
    <w:next w:val="664"/>
    <w:link w:val="659"/>
    <w:pPr>
      <w:pBdr/>
      <w:spacing/>
      <w:ind/>
    </w:pPr>
  </w:style>
  <w:style w:type="character" w:styleId="665">
    <w:name w:val="WW8Num1z2"/>
    <w:next w:val="665"/>
    <w:link w:val="659"/>
    <w:pPr>
      <w:pBdr/>
      <w:spacing/>
      <w:ind/>
    </w:pPr>
  </w:style>
  <w:style w:type="character" w:styleId="666">
    <w:name w:val="WW8Num1z3"/>
    <w:next w:val="666"/>
    <w:link w:val="659"/>
    <w:pPr>
      <w:pBdr/>
      <w:spacing/>
      <w:ind/>
    </w:pPr>
  </w:style>
  <w:style w:type="character" w:styleId="667">
    <w:name w:val="WW8Num1z4"/>
    <w:next w:val="667"/>
    <w:link w:val="659"/>
    <w:pPr>
      <w:pBdr/>
      <w:spacing/>
      <w:ind/>
    </w:pPr>
  </w:style>
  <w:style w:type="character" w:styleId="668">
    <w:name w:val="WW8Num1z5"/>
    <w:next w:val="668"/>
    <w:link w:val="659"/>
    <w:pPr>
      <w:pBdr/>
      <w:spacing/>
      <w:ind/>
    </w:pPr>
  </w:style>
  <w:style w:type="character" w:styleId="669">
    <w:name w:val="WW8Num1z6"/>
    <w:next w:val="669"/>
    <w:link w:val="659"/>
    <w:pPr>
      <w:pBdr/>
      <w:spacing/>
      <w:ind/>
    </w:pPr>
  </w:style>
  <w:style w:type="character" w:styleId="670">
    <w:name w:val="WW8Num1z7"/>
    <w:next w:val="670"/>
    <w:link w:val="659"/>
    <w:pPr>
      <w:pBdr/>
      <w:spacing/>
      <w:ind/>
    </w:pPr>
  </w:style>
  <w:style w:type="character" w:styleId="671">
    <w:name w:val="WW8Num1z8"/>
    <w:next w:val="671"/>
    <w:link w:val="659"/>
    <w:pPr>
      <w:pBdr/>
      <w:spacing/>
      <w:ind/>
    </w:pPr>
  </w:style>
  <w:style w:type="character" w:styleId="672">
    <w:name w:val="WW8Num2z0"/>
    <w:next w:val="672"/>
    <w:link w:val="659"/>
    <w:pPr>
      <w:pBdr/>
      <w:spacing/>
      <w:ind/>
    </w:pPr>
  </w:style>
  <w:style w:type="character" w:styleId="673">
    <w:name w:val="WW8Num2z1"/>
    <w:next w:val="673"/>
    <w:link w:val="659"/>
    <w:pPr>
      <w:pBdr/>
      <w:spacing/>
      <w:ind/>
    </w:pPr>
  </w:style>
  <w:style w:type="character" w:styleId="674">
    <w:name w:val="WW8Num2z2"/>
    <w:next w:val="674"/>
    <w:link w:val="659"/>
    <w:pPr>
      <w:pBdr/>
      <w:spacing/>
      <w:ind/>
    </w:pPr>
  </w:style>
  <w:style w:type="character" w:styleId="675">
    <w:name w:val="WW8Num2z3"/>
    <w:next w:val="675"/>
    <w:link w:val="659"/>
    <w:pPr>
      <w:pBdr/>
      <w:spacing/>
      <w:ind/>
    </w:pPr>
  </w:style>
  <w:style w:type="character" w:styleId="676">
    <w:name w:val="WW8Num2z4"/>
    <w:next w:val="676"/>
    <w:link w:val="659"/>
    <w:pPr>
      <w:pBdr/>
      <w:spacing/>
      <w:ind/>
    </w:pPr>
  </w:style>
  <w:style w:type="character" w:styleId="677">
    <w:name w:val="WW8Num2z5"/>
    <w:next w:val="677"/>
    <w:link w:val="659"/>
    <w:pPr>
      <w:pBdr/>
      <w:spacing/>
      <w:ind/>
    </w:pPr>
  </w:style>
  <w:style w:type="character" w:styleId="678">
    <w:name w:val="WW8Num2z6"/>
    <w:next w:val="678"/>
    <w:link w:val="659"/>
    <w:pPr>
      <w:pBdr/>
      <w:spacing/>
      <w:ind/>
    </w:pPr>
  </w:style>
  <w:style w:type="character" w:styleId="679">
    <w:name w:val="WW8Num2z7"/>
    <w:next w:val="679"/>
    <w:link w:val="659"/>
    <w:pPr>
      <w:pBdr/>
      <w:spacing/>
      <w:ind/>
    </w:pPr>
  </w:style>
  <w:style w:type="character" w:styleId="680">
    <w:name w:val="WW8Num2z8"/>
    <w:next w:val="680"/>
    <w:link w:val="659"/>
    <w:pPr>
      <w:pBdr/>
      <w:spacing/>
      <w:ind/>
    </w:pPr>
  </w:style>
  <w:style w:type="character" w:styleId="681">
    <w:name w:val="Основной шрифт абзаца2"/>
    <w:next w:val="681"/>
    <w:link w:val="659"/>
    <w:pPr>
      <w:pBdr/>
      <w:spacing/>
      <w:ind/>
    </w:pPr>
  </w:style>
  <w:style w:type="character" w:styleId="682">
    <w:name w:val="Основной шрифт абзаца1"/>
    <w:next w:val="682"/>
    <w:link w:val="659"/>
    <w:pPr>
      <w:pBdr/>
      <w:spacing/>
      <w:ind/>
    </w:pPr>
  </w:style>
  <w:style w:type="character" w:styleId="683">
    <w:name w:val="Гиперссылка"/>
    <w:next w:val="683"/>
    <w:link w:val="659"/>
    <w:pPr>
      <w:pBdr/>
      <w:spacing/>
      <w:ind/>
    </w:pPr>
    <w:rPr>
      <w:color w:val="0000ff"/>
      <w:u w:val="single"/>
    </w:rPr>
  </w:style>
  <w:style w:type="character" w:styleId="684">
    <w:name w:val="ListLabel 1"/>
    <w:next w:val="684"/>
    <w:link w:val="659"/>
    <w:pPr>
      <w:pBdr/>
      <w:spacing/>
      <w:ind/>
    </w:pPr>
    <w:rPr>
      <w:rFonts w:ascii="Times New Roman" w:hAnsi="Times New Roman" w:cs="Times New Roman"/>
    </w:rPr>
  </w:style>
  <w:style w:type="paragraph" w:styleId="685">
    <w:name w:val="Заголовок"/>
    <w:basedOn w:val="659"/>
    <w:next w:val="686"/>
    <w:link w:val="659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686">
    <w:name w:val="Основной текст"/>
    <w:basedOn w:val="659"/>
    <w:next w:val="686"/>
    <w:link w:val="659"/>
    <w:pPr>
      <w:pBdr/>
      <w:spacing w:after="120" w:before="0"/>
      <w:ind/>
    </w:pPr>
  </w:style>
  <w:style w:type="paragraph" w:styleId="687">
    <w:name w:val="Список"/>
    <w:basedOn w:val="686"/>
    <w:next w:val="687"/>
    <w:link w:val="659"/>
    <w:pPr>
      <w:pBdr/>
      <w:spacing/>
      <w:ind/>
    </w:pPr>
    <w:rPr>
      <w:rFonts w:cs="Mangal"/>
    </w:rPr>
  </w:style>
  <w:style w:type="paragraph" w:styleId="688">
    <w:name w:val="Название объекта"/>
    <w:basedOn w:val="659"/>
    <w:next w:val="688"/>
    <w:link w:val="659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689">
    <w:name w:val="Указатель2"/>
    <w:basedOn w:val="659"/>
    <w:next w:val="689"/>
    <w:link w:val="659"/>
    <w:pPr>
      <w:suppressLineNumbers w:val="true"/>
      <w:pBdr/>
      <w:spacing/>
      <w:ind/>
    </w:pPr>
    <w:rPr>
      <w:rFonts w:cs="Mangal"/>
    </w:rPr>
  </w:style>
  <w:style w:type="paragraph" w:styleId="690">
    <w:name w:val="Название объекта1"/>
    <w:basedOn w:val="659"/>
    <w:next w:val="690"/>
    <w:link w:val="659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691">
    <w:name w:val="Указатель1"/>
    <w:basedOn w:val="659"/>
    <w:next w:val="691"/>
    <w:link w:val="659"/>
    <w:pPr>
      <w:suppressLineNumbers w:val="true"/>
      <w:pBdr/>
      <w:spacing/>
      <w:ind/>
    </w:pPr>
    <w:rPr>
      <w:rFonts w:cs="Mangal"/>
    </w:rPr>
  </w:style>
  <w:style w:type="paragraph" w:styleId="692">
    <w:name w:val="Содержимое таблицы"/>
    <w:basedOn w:val="659"/>
    <w:next w:val="692"/>
    <w:link w:val="659"/>
    <w:pPr>
      <w:suppressLineNumbers w:val="true"/>
      <w:pBdr/>
      <w:spacing/>
      <w:ind/>
    </w:pPr>
  </w:style>
  <w:style w:type="paragraph" w:styleId="693">
    <w:name w:val="Заголовок таблицы"/>
    <w:basedOn w:val="692"/>
    <w:next w:val="693"/>
    <w:link w:val="659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ФМБА РОССИИ</dc:title>
  <dc:creator>dom</dc:creator>
  <cp:revision>8</cp:revision>
  <dcterms:created xsi:type="dcterms:W3CDTF">2026-05-20T11:36:00Z</dcterms:created>
  <dcterms:modified xsi:type="dcterms:W3CDTF">2026-05-20T15:01:40Z</dcterms:modified>
  <cp:version>917504</cp:version>
</cp:coreProperties>
</file>