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pBdr/>
        <w:spacing w:after="0" w:line="0" w:lineRule="atLeast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выполнении плановых объемов профилактических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ФГБУЗ МСЧ №121 ФМБА России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кварт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5"/>
        <w:pBdr/>
        <w:spacing w:after="0" w:line="0" w:lineRule="atLeast"/>
        <w:ind/>
        <w:rPr/>
      </w:pPr>
      <w:r/>
      <w:r/>
    </w:p>
    <w:tbl>
      <w:tblPr>
        <w:tblW w:w="0" w:type="auto"/>
        <w:tblInd w:w="94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655"/>
        <w:gridCol w:w="1417"/>
        <w:gridCol w:w="1276"/>
        <w:gridCol w:w="1276"/>
        <w:gridCol w:w="1275"/>
        <w:gridCol w:w="1276"/>
      </w:tblGrid>
      <w:tr>
        <w:trPr>
          <w:trHeight w:val="2141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профилактического мероприятия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взрослого населения, подлежащего 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всего взрослого населения)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осмотренных человек 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выполнения плана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%)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прошедших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этап </w:t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выполнения плана года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Профосмотр взрослого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388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26,3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720"/>
        </w:trPr>
        <w:tc>
          <w:tcPr>
            <w:tcBorders>
              <w:left w:val="single" w:color="000000" w:sz="1" w:space="0"/>
              <w:bottom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both"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взрослого населения</w:t>
            </w:r>
            <w:r/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836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26,0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auto" w:sz="4" w:space="0"/>
              <w:right w:val="single" w:color="000000" w:sz="1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Диспансеризация взрослого населения репродуктивного возраста по оценке репродуктивного здоровья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1574, из них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62 жен., 612 муж.)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374, из них:       174 жен., 200 муж.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23,8%, из них:    18,1% жен. 32,7% муж.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13,2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5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Диспансерное наблюдение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2257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562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24,9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885"/>
        <w:pBdr/>
        <w:spacing w:line="240" w:lineRule="auto"/>
        <w:ind/>
        <w:contextualSpacing w:val="true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</w:r>
      <w:r>
        <w:rPr>
          <w:rFonts w:ascii="Times New Roman CYR" w:hAnsi="Times New Roman CYR" w:cs="Times New Roman CYR"/>
          <w:color w:val="000000"/>
          <w:sz w:val="26"/>
          <w:szCs w:val="26"/>
        </w:rPr>
      </w:r>
      <w:r>
        <w:rPr>
          <w:rFonts w:ascii="Times New Roman CYR" w:hAnsi="Times New Roman CYR" w:cs="Times New Roman CYR"/>
          <w:color w:val="000000"/>
          <w:sz w:val="26"/>
          <w:szCs w:val="26"/>
        </w:rPr>
      </w:r>
    </w:p>
    <w:p>
      <w:pPr>
        <w:pStyle w:val="885"/>
        <w:pBdr/>
        <w:spacing w:after="0" w:line="240" w:lineRule="auto"/>
        <w:ind w:firstLine="720"/>
        <w:contextualSpacing w:val="true"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Впервые выявлены заболевания у </w:t>
      </w:r>
      <w:r>
        <w:rPr>
          <w:rFonts w:ascii="Times New Roman" w:hAnsi="Times New Roman"/>
          <w:sz w:val="28"/>
          <w:szCs w:val="28"/>
        </w:rPr>
        <w:t xml:space="preserve">36</w:t>
      </w:r>
      <w:r>
        <w:rPr>
          <w:rFonts w:ascii="Times New Roman" w:hAnsi="Times New Roman"/>
          <w:sz w:val="28"/>
          <w:szCs w:val="28"/>
        </w:rPr>
        <w:t xml:space="preserve"> человек, что составило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% от всех прошедших профилактические мероприятия,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,3% бол</w:t>
      </w:r>
      <w:r>
        <w:rPr>
          <w:rFonts w:ascii="Times New Roman" w:hAnsi="Times New Roman"/>
          <w:sz w:val="28"/>
          <w:szCs w:val="28"/>
        </w:rPr>
        <w:t xml:space="preserve">ьше, чем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за этот же период.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5"/>
        <w:pBdr/>
        <w:spacing w:after="0" w:line="240" w:lineRule="auto"/>
        <w:ind w:firstLine="720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 xml:space="preserve">впервые выявленных заболеваний: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онкозаболевани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ЗНО кожи)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болезни органов пищеварения –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чел.,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% от всех прошедших профмероприятия, на одном уровне с  прошлым годом.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болезни системы кровообращения,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 xml:space="preserve">0,3</w:t>
      </w:r>
      <w:r>
        <w:rPr>
          <w:rFonts w:ascii="Times New Roman" w:hAnsi="Times New Roman"/>
          <w:sz w:val="28"/>
          <w:szCs w:val="28"/>
        </w:rPr>
        <w:t xml:space="preserve">% от </w:t>
      </w:r>
      <w:r>
        <w:rPr>
          <w:rFonts w:ascii="Times New Roman" w:hAnsi="Times New Roman"/>
          <w:sz w:val="28"/>
          <w:szCs w:val="28"/>
        </w:rPr>
        <w:t xml:space="preserve">всех прошедших профмероприятия;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заболевания бронхолегочной системы –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чел.,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одном уровне с</w:t>
      </w:r>
      <w:r>
        <w:rPr>
          <w:rFonts w:ascii="Times New Roman" w:hAnsi="Times New Roman"/>
          <w:sz w:val="28"/>
          <w:szCs w:val="28"/>
        </w:rPr>
        <w:t xml:space="preserve"> прошл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м год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 w:after="0" w:line="100" w:lineRule="atLeast"/>
        <w:ind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сахарный диабет  -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человека, 0,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% , </w:t>
      </w:r>
      <w:r>
        <w:rPr>
          <w:rFonts w:ascii="Times New Roman" w:hAnsi="Times New Roman"/>
          <w:sz w:val="28"/>
          <w:szCs w:val="28"/>
        </w:rPr>
        <w:t xml:space="preserve">на 50% больше, чем за 1 кв.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впервые выявлено 2</w:t>
      </w:r>
      <w:r>
        <w:rPr>
          <w:rFonts w:ascii="Times New Roman" w:hAnsi="Times New Roman"/>
          <w:sz w:val="28"/>
          <w:szCs w:val="28"/>
        </w:rPr>
        <w:t xml:space="preserve"> чел;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pBdr/>
        <w:spacing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пациенты с ХНИЗ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зяты на диспансерное наблюдение.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5"/>
        <w:pBdr/>
        <w:spacing w:line="240" w:lineRule="auto"/>
        <w:ind/>
        <w:jc w:val="both"/>
        <w:rPr/>
      </w:pPr>
      <w:r>
        <w:rPr>
          <w:rFonts w:ascii="Times New Roman CYR" w:hAnsi="Times New Roman CYR" w:cs="Times New Roman CYR"/>
          <w:color w:val="000000"/>
          <w:sz w:val="26"/>
          <w:szCs w:val="26"/>
        </w:rPr>
        <w:br w:type="page" w:clear="all"/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Из числа завершивших Д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ВН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и ПМО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в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1 кв.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202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6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г.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распределились по группам здоровья:</w:t>
      </w:r>
      <w:r/>
    </w:p>
    <w:tbl>
      <w:tblPr>
        <w:tblW w:w="9356" w:type="dxa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438"/>
        <w:gridCol w:w="1978"/>
        <w:gridCol w:w="1971"/>
        <w:gridCol w:w="3969"/>
      </w:tblGrid>
      <w:tr>
        <w:trPr>
          <w:trHeight w:val="78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Определена группа здоровья</w:t>
            </w:r>
            <w:r/>
          </w:p>
        </w:tc>
        <w:tc>
          <w:tcPr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3949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8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чел.- % от общего числа осмотренных  </w:t>
            </w:r>
            <w:r/>
          </w:p>
        </w:tc>
      </w:tr>
      <w:tr>
        <w:trPr>
          <w:trHeight w:val="738"/>
        </w:trPr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трудоспособном возрасте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Старше трудоспособного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%; 2025г.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– 7,2%; в 2025г.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18"/>
        </w:trPr>
        <w:tc>
          <w:tcPr>
            <w:tcBorders>
              <w:left w:val="single" w:color="000000" w:sz="1" w:space="0"/>
              <w:bottom w:val="single" w:color="000000" w:sz="2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2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1" w:space="0"/>
              <w:bottom w:val="single" w:color="000000" w:sz="2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582 – 62%;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46,9%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2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978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W w:w="1971" w:type="dxa"/>
            <w:vAlign w:val="top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 – 18,6%; в 2025г.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85"/>
        <w:pBdr/>
        <w:spacing w:line="100" w:lineRule="atLeast"/>
        <w:ind/>
        <w:jc w:val="both"/>
        <w:rPr/>
      </w:pP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h="16838" w:orient="portrait" w:w="11906"/>
      <w:pgMar w:top="1134" w:right="567" w:bottom="1134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Liberation Serif">
    <w:panose1 w:val="020206030504050203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qFormat/>
    <w:pPr>
      <w:pBdr/>
      <w:spacing w:after="200" w:line="276" w:lineRule="auto"/>
      <w:ind/>
    </w:pPr>
    <w:rPr>
      <w:rFonts w:ascii="Calibri" w:hAnsi="Calibri" w:cs="Calibri"/>
      <w:sz w:val="22"/>
      <w:szCs w:val="22"/>
      <w:lang w:val="ru-RU" w:eastAsia="zh-CN" w:bidi="ar-SA"/>
    </w:rPr>
  </w:style>
  <w:style w:type="character" w:styleId="886">
    <w:name w:val="Основной шрифт абзаца"/>
    <w:next w:val="886"/>
    <w:link w:val="885"/>
    <w:uiPriority w:val="1"/>
    <w:semiHidden/>
    <w:unhideWhenUsed/>
    <w:pPr>
      <w:pBdr/>
      <w:spacing/>
      <w:ind/>
    </w:pPr>
  </w:style>
  <w:style w:type="table" w:styleId="887">
    <w:name w:val="Обычная таблица"/>
    <w:next w:val="887"/>
    <w:link w:val="88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>
    <w:name w:val="Нет списка"/>
    <w:next w:val="888"/>
    <w:link w:val="885"/>
    <w:uiPriority w:val="99"/>
    <w:semiHidden/>
    <w:unhideWhenUsed/>
    <w:pPr>
      <w:pBdr/>
      <w:spacing/>
      <w:ind/>
    </w:pPr>
  </w:style>
  <w:style w:type="character" w:styleId="889">
    <w:name w:val="WW8Num1z0"/>
    <w:next w:val="889"/>
    <w:link w:val="885"/>
    <w:pPr>
      <w:pBdr/>
      <w:spacing/>
      <w:ind/>
    </w:pPr>
    <w:rPr>
      <w:rFonts w:ascii="Symbol" w:hAnsi="Symbol" w:cs="Symbol"/>
    </w:rPr>
  </w:style>
  <w:style w:type="character" w:styleId="890">
    <w:name w:val="WW8Num1z1"/>
    <w:next w:val="890"/>
    <w:link w:val="885"/>
    <w:pPr>
      <w:pBdr/>
      <w:spacing/>
      <w:ind/>
    </w:pPr>
  </w:style>
  <w:style w:type="character" w:styleId="891">
    <w:name w:val="WW8Num1z2"/>
    <w:next w:val="891"/>
    <w:link w:val="885"/>
    <w:pPr>
      <w:pBdr/>
      <w:spacing/>
      <w:ind/>
    </w:pPr>
  </w:style>
  <w:style w:type="character" w:styleId="892">
    <w:name w:val="WW8Num1z3"/>
    <w:next w:val="892"/>
    <w:link w:val="885"/>
    <w:pPr>
      <w:pBdr/>
      <w:spacing/>
      <w:ind/>
    </w:pPr>
  </w:style>
  <w:style w:type="character" w:styleId="893">
    <w:name w:val="WW8Num1z4"/>
    <w:next w:val="893"/>
    <w:link w:val="885"/>
    <w:pPr>
      <w:pBdr/>
      <w:spacing/>
      <w:ind/>
    </w:pPr>
  </w:style>
  <w:style w:type="character" w:styleId="894">
    <w:name w:val="WW8Num1z5"/>
    <w:next w:val="894"/>
    <w:link w:val="885"/>
    <w:pPr>
      <w:pBdr/>
      <w:spacing/>
      <w:ind/>
    </w:pPr>
  </w:style>
  <w:style w:type="character" w:styleId="895">
    <w:name w:val="WW8Num1z6"/>
    <w:next w:val="895"/>
    <w:link w:val="885"/>
    <w:pPr>
      <w:pBdr/>
      <w:spacing/>
      <w:ind/>
    </w:pPr>
  </w:style>
  <w:style w:type="character" w:styleId="896">
    <w:name w:val="WW8Num1z7"/>
    <w:next w:val="896"/>
    <w:link w:val="885"/>
    <w:pPr>
      <w:pBdr/>
      <w:spacing/>
      <w:ind/>
    </w:pPr>
  </w:style>
  <w:style w:type="character" w:styleId="897">
    <w:name w:val="WW8Num1z8"/>
    <w:next w:val="897"/>
    <w:link w:val="885"/>
    <w:pPr>
      <w:pBdr/>
      <w:spacing/>
      <w:ind/>
    </w:pPr>
  </w:style>
  <w:style w:type="character" w:styleId="898">
    <w:name w:val="WW8Num2z0"/>
    <w:next w:val="898"/>
    <w:link w:val="885"/>
    <w:pPr>
      <w:pBdr/>
      <w:spacing/>
      <w:ind/>
    </w:pPr>
  </w:style>
  <w:style w:type="character" w:styleId="899">
    <w:name w:val="WW8Num2z1"/>
    <w:next w:val="899"/>
    <w:link w:val="885"/>
    <w:pPr>
      <w:pBdr/>
      <w:spacing/>
      <w:ind/>
    </w:pPr>
  </w:style>
  <w:style w:type="character" w:styleId="900">
    <w:name w:val="WW8Num2z2"/>
    <w:next w:val="900"/>
    <w:link w:val="885"/>
    <w:pPr>
      <w:pBdr/>
      <w:spacing/>
      <w:ind/>
    </w:pPr>
  </w:style>
  <w:style w:type="character" w:styleId="901">
    <w:name w:val="WW8Num2z3"/>
    <w:next w:val="901"/>
    <w:link w:val="885"/>
    <w:pPr>
      <w:pBdr/>
      <w:spacing/>
      <w:ind/>
    </w:pPr>
  </w:style>
  <w:style w:type="character" w:styleId="902">
    <w:name w:val="WW8Num2z4"/>
    <w:next w:val="902"/>
    <w:link w:val="885"/>
    <w:pPr>
      <w:pBdr/>
      <w:spacing/>
      <w:ind/>
    </w:pPr>
  </w:style>
  <w:style w:type="character" w:styleId="903">
    <w:name w:val="WW8Num2z5"/>
    <w:next w:val="903"/>
    <w:link w:val="885"/>
    <w:pPr>
      <w:pBdr/>
      <w:spacing/>
      <w:ind/>
    </w:pPr>
  </w:style>
  <w:style w:type="character" w:styleId="904">
    <w:name w:val="WW8Num2z6"/>
    <w:next w:val="904"/>
    <w:link w:val="885"/>
    <w:pPr>
      <w:pBdr/>
      <w:spacing/>
      <w:ind/>
    </w:pPr>
  </w:style>
  <w:style w:type="character" w:styleId="905">
    <w:name w:val="WW8Num2z7"/>
    <w:next w:val="905"/>
    <w:link w:val="885"/>
    <w:pPr>
      <w:pBdr/>
      <w:spacing/>
      <w:ind/>
    </w:pPr>
  </w:style>
  <w:style w:type="character" w:styleId="906">
    <w:name w:val="WW8Num2z8"/>
    <w:next w:val="906"/>
    <w:link w:val="885"/>
    <w:pPr>
      <w:pBdr/>
      <w:spacing/>
      <w:ind/>
    </w:pPr>
  </w:style>
  <w:style w:type="character" w:styleId="907">
    <w:name w:val="Основной шрифт абзаца2"/>
    <w:next w:val="907"/>
    <w:link w:val="885"/>
    <w:pPr>
      <w:pBdr/>
      <w:spacing/>
      <w:ind/>
    </w:pPr>
  </w:style>
  <w:style w:type="character" w:styleId="908">
    <w:name w:val="Основной шрифт абзаца1"/>
    <w:next w:val="908"/>
    <w:link w:val="885"/>
    <w:pPr>
      <w:pBdr/>
      <w:spacing/>
      <w:ind/>
    </w:pPr>
  </w:style>
  <w:style w:type="character" w:styleId="909">
    <w:name w:val="Гиперссылка"/>
    <w:next w:val="909"/>
    <w:link w:val="885"/>
    <w:pPr>
      <w:pBdr/>
      <w:spacing/>
      <w:ind/>
    </w:pPr>
    <w:rPr>
      <w:color w:val="0000ff"/>
      <w:u w:val="single"/>
    </w:rPr>
  </w:style>
  <w:style w:type="character" w:styleId="910">
    <w:name w:val="ListLabel 1"/>
    <w:next w:val="910"/>
    <w:link w:val="885"/>
    <w:pPr>
      <w:pBdr/>
      <w:spacing/>
      <w:ind/>
    </w:pPr>
    <w:rPr>
      <w:rFonts w:ascii="Times New Roman" w:hAnsi="Times New Roman" w:cs="Times New Roman"/>
    </w:rPr>
  </w:style>
  <w:style w:type="paragraph" w:styleId="911">
    <w:name w:val="Заголовок"/>
    <w:basedOn w:val="885"/>
    <w:next w:val="912"/>
    <w:link w:val="885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2">
    <w:name w:val="Основной текст"/>
    <w:basedOn w:val="885"/>
    <w:next w:val="912"/>
    <w:link w:val="885"/>
    <w:pPr>
      <w:pBdr/>
      <w:spacing w:after="120" w:before="0"/>
      <w:ind/>
    </w:pPr>
  </w:style>
  <w:style w:type="paragraph" w:styleId="913">
    <w:name w:val="Список"/>
    <w:basedOn w:val="912"/>
    <w:next w:val="913"/>
    <w:link w:val="885"/>
    <w:pPr>
      <w:pBdr/>
      <w:spacing/>
      <w:ind/>
    </w:pPr>
    <w:rPr>
      <w:rFonts w:cs="Mangal"/>
    </w:rPr>
  </w:style>
  <w:style w:type="paragraph" w:styleId="914">
    <w:name w:val="Название объекта"/>
    <w:basedOn w:val="885"/>
    <w:next w:val="914"/>
    <w:link w:val="88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5">
    <w:name w:val="Указатель2"/>
    <w:basedOn w:val="885"/>
    <w:next w:val="915"/>
    <w:link w:val="885"/>
    <w:pPr>
      <w:suppressLineNumbers w:val="true"/>
      <w:pBdr/>
      <w:spacing/>
      <w:ind/>
    </w:pPr>
    <w:rPr>
      <w:rFonts w:cs="Mangal"/>
    </w:rPr>
  </w:style>
  <w:style w:type="paragraph" w:styleId="916">
    <w:name w:val="Название объекта1"/>
    <w:basedOn w:val="885"/>
    <w:next w:val="916"/>
    <w:link w:val="885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Указатель1"/>
    <w:basedOn w:val="885"/>
    <w:next w:val="917"/>
    <w:link w:val="885"/>
    <w:pPr>
      <w:suppressLineNumbers w:val="true"/>
      <w:pBdr/>
      <w:spacing/>
      <w:ind/>
    </w:pPr>
    <w:rPr>
      <w:rFonts w:cs="Mangal"/>
    </w:rPr>
  </w:style>
  <w:style w:type="paragraph" w:styleId="918">
    <w:name w:val="Содержимое таблицы"/>
    <w:basedOn w:val="885"/>
    <w:next w:val="918"/>
    <w:link w:val="885"/>
    <w:pPr>
      <w:suppressLineNumbers w:val="true"/>
      <w:pBdr/>
      <w:spacing/>
      <w:ind/>
    </w:pPr>
  </w:style>
  <w:style w:type="paragraph" w:styleId="919">
    <w:name w:val="Заголовок таблицы"/>
    <w:basedOn w:val="918"/>
    <w:next w:val="919"/>
    <w:link w:val="885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ФМБА РОССИИ</dc:title>
  <dc:creator>dom</dc:creator>
  <cp:revision>9</cp:revision>
  <dcterms:created xsi:type="dcterms:W3CDTF">2026-05-20T11:48:00Z</dcterms:created>
  <dcterms:modified xsi:type="dcterms:W3CDTF">2026-05-20T15:01:57Z</dcterms:modified>
  <cp:version>917504</cp:version>
</cp:coreProperties>
</file>